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F3D" w:rsidRDefault="00132F3D" w:rsidP="006E5908">
      <w:pPr>
        <w:jc w:val="center"/>
        <w:rPr>
          <w:rFonts w:asciiTheme="minorHAnsi" w:hAnsiTheme="minorHAnsi"/>
          <w:sz w:val="22"/>
          <w:szCs w:val="22"/>
        </w:rPr>
      </w:pPr>
      <w:r w:rsidRPr="00D845EF">
        <w:rPr>
          <w:rFonts w:asciiTheme="minorHAnsi" w:hAnsiTheme="minorHAnsi"/>
          <w:sz w:val="22"/>
          <w:szCs w:val="22"/>
        </w:rPr>
        <w:t>PAKIET</w:t>
      </w:r>
      <w:r>
        <w:t xml:space="preserve">      </w:t>
      </w:r>
      <w:r w:rsidR="00DA1DAC">
        <w:rPr>
          <w:rFonts w:asciiTheme="minorHAnsi" w:hAnsiTheme="minorHAnsi"/>
          <w:sz w:val="22"/>
          <w:szCs w:val="22"/>
        </w:rPr>
        <w:t>25</w:t>
      </w:r>
    </w:p>
    <w:p w:rsidR="00132F3D" w:rsidRDefault="00132F3D" w:rsidP="006E5908">
      <w:pPr>
        <w:jc w:val="center"/>
        <w:rPr>
          <w:rFonts w:asciiTheme="minorHAnsi" w:hAnsiTheme="minorHAnsi"/>
          <w:sz w:val="22"/>
          <w:szCs w:val="22"/>
        </w:rPr>
      </w:pPr>
    </w:p>
    <w:p w:rsidR="00132F3D" w:rsidRPr="006E5908" w:rsidRDefault="00132F3D" w:rsidP="006E5908">
      <w:pPr>
        <w:jc w:val="center"/>
        <w:rPr>
          <w:rFonts w:asciiTheme="minorHAnsi" w:hAnsiTheme="minorHAnsi"/>
          <w:b/>
          <w:sz w:val="24"/>
          <w:szCs w:val="24"/>
        </w:rPr>
      </w:pPr>
      <w:r w:rsidRPr="006E5908">
        <w:rPr>
          <w:rFonts w:asciiTheme="minorHAnsi" w:hAnsiTheme="minorHAnsi"/>
          <w:b/>
          <w:sz w:val="24"/>
          <w:szCs w:val="24"/>
        </w:rPr>
        <w:t>ZESTAWIENIE  PARAMETRÓW I WARUNKÓW  TECHNICZNYCH</w:t>
      </w:r>
    </w:p>
    <w:p w:rsidR="00132F3D" w:rsidRPr="003534F1" w:rsidRDefault="00132F3D" w:rsidP="00132F3D">
      <w:pPr>
        <w:rPr>
          <w:rFonts w:asciiTheme="minorHAnsi" w:hAnsiTheme="minorHAnsi"/>
          <w:sz w:val="24"/>
          <w:szCs w:val="24"/>
        </w:rPr>
      </w:pPr>
    </w:p>
    <w:p w:rsidR="00132F3D" w:rsidRDefault="00132F3D" w:rsidP="00132F3D"/>
    <w:tbl>
      <w:tblPr>
        <w:tblW w:w="12851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7938"/>
        <w:gridCol w:w="2409"/>
      </w:tblGrid>
      <w:tr w:rsidR="00132F3D" w:rsidRPr="00335407" w:rsidTr="00172400">
        <w:trPr>
          <w:trHeight w:val="284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132F3D" w:rsidRPr="00A36466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Przedmiot: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5A5BDE" w:rsidRDefault="00132F3D" w:rsidP="00172400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    </w:t>
            </w:r>
            <w:r w:rsidRPr="005A5BDE">
              <w:rPr>
                <w:rFonts w:asciiTheme="minorHAnsi" w:hAnsiTheme="minorHAnsi"/>
                <w:b/>
                <w:sz w:val="24"/>
                <w:szCs w:val="24"/>
              </w:rPr>
              <w:t xml:space="preserve">POMPA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INFUZYJNA     </w:t>
            </w:r>
            <w:r w:rsidRPr="005A5BDE">
              <w:rPr>
                <w:rFonts w:asciiTheme="minorHAnsi" w:hAnsiTheme="minorHAnsi"/>
                <w:b/>
                <w:sz w:val="24"/>
                <w:szCs w:val="24"/>
              </w:rPr>
              <w:t xml:space="preserve">OBJĘTOŚCIOWA  </w:t>
            </w:r>
            <w:r w:rsidRPr="005A5BDE">
              <w:rPr>
                <w:rFonts w:ascii="Calibri" w:hAnsi="Calibri"/>
                <w:b/>
                <w:sz w:val="24"/>
                <w:szCs w:val="24"/>
              </w:rPr>
              <w:t xml:space="preserve">         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            </w:t>
            </w:r>
            <w:r w:rsidR="00EC48AE">
              <w:rPr>
                <w:rFonts w:ascii="Calibri" w:hAnsi="Calibri"/>
                <w:b/>
                <w:sz w:val="24"/>
                <w:szCs w:val="24"/>
              </w:rPr>
              <w:t xml:space="preserve"> 3</w:t>
            </w:r>
            <w:r w:rsidRPr="005A5BDE">
              <w:rPr>
                <w:rFonts w:ascii="Calibri" w:hAnsi="Calibri"/>
                <w:b/>
                <w:sz w:val="24"/>
                <w:szCs w:val="24"/>
              </w:rPr>
              <w:t xml:space="preserve"> szt</w:t>
            </w:r>
            <w:r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2409" w:type="dxa"/>
            <w:vAlign w:val="center"/>
          </w:tcPr>
          <w:p w:rsidR="00132F3D" w:rsidRPr="004C36A8" w:rsidRDefault="00132F3D" w:rsidP="00172400">
            <w:pPr>
              <w:rPr>
                <w:rFonts w:ascii="Calibri" w:hAnsi="Calibri"/>
                <w:b/>
                <w:sz w:val="24"/>
                <w:szCs w:val="24"/>
              </w:rPr>
            </w:pPr>
            <w:r w:rsidRPr="004C36A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</w:tr>
      <w:tr w:rsidR="00132F3D" w:rsidRPr="00335407" w:rsidTr="00172400">
        <w:trPr>
          <w:gridAfter w:val="1"/>
          <w:wAfter w:w="2409" w:type="dxa"/>
          <w:trHeight w:val="284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22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Nazwa  i typ: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32F3D" w:rsidRPr="00335407" w:rsidTr="00172400">
        <w:trPr>
          <w:gridAfter w:val="1"/>
          <w:wAfter w:w="2409" w:type="dxa"/>
          <w:trHeight w:val="284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Producent 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132F3D" w:rsidRPr="00335407" w:rsidTr="00172400">
        <w:trPr>
          <w:gridAfter w:val="1"/>
          <w:wAfter w:w="2409" w:type="dxa"/>
          <w:trHeight w:val="284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A36466" w:rsidRDefault="00132F3D" w:rsidP="00172400">
            <w:pPr>
              <w:shd w:val="clear" w:color="auto" w:fill="FFFFFF"/>
              <w:ind w:left="14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36466">
              <w:rPr>
                <w:rFonts w:asciiTheme="minorHAnsi" w:hAnsiTheme="minorHAnsi"/>
                <w:color w:val="000000"/>
                <w:sz w:val="22"/>
                <w:szCs w:val="22"/>
              </w:rPr>
              <w:t>R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ok produkcji: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</w:tbl>
    <w:p w:rsidR="00132F3D" w:rsidRDefault="00132F3D" w:rsidP="00132F3D"/>
    <w:p w:rsidR="00132F3D" w:rsidRDefault="00132F3D" w:rsidP="00132F3D"/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2552"/>
        <w:gridCol w:w="2409"/>
      </w:tblGrid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Pompa przeznaczona do podaży leków, płynów, krwi i produktów krwiopodobnych.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Zastosowany mechanizm umożliwiający transfuzję krwi nie powoduje niszczenia czerwonych krwinek (hemolizy)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Aparat do przetoczeń z mechanizmem zabezpieczającym przed niekontrolowanym wypływem leku po otworzeniu </w:t>
            </w:r>
            <w:r w:rsidR="006E5908" w:rsidRPr="00335407">
              <w:rPr>
                <w:rFonts w:ascii="Calibri" w:hAnsi="Calibri"/>
                <w:sz w:val="22"/>
                <w:szCs w:val="22"/>
              </w:rPr>
              <w:t>drzwi</w:t>
            </w:r>
            <w:r w:rsidRPr="00335407">
              <w:rPr>
                <w:rFonts w:ascii="Calibri" w:hAnsi="Calibri"/>
                <w:sz w:val="22"/>
                <w:szCs w:val="22"/>
              </w:rPr>
              <w:t xml:space="preserve"> pompy infuzyjnej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wprowadzenia i skalibrowania pompy do pracy z innymi akceptowalnymi zestawami infuzyjnymi.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Wyświetlacz LCD TFT min. 3 cale z możliwością regulacji jasności i głośności alarmów (tryb nocny)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0801AD" w:rsidRDefault="006E5908" w:rsidP="006E5908">
            <w:pPr>
              <w:jc w:val="center"/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Na wyświetlaczu dostępne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jednocześnie informacje: prędkość infuzji, aktualna podaż, objętość do podania, ciśnienie w linii infuzyjnej, pojemność akumulatora, podawany lek, alarmy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Wszystkie napisy na wyświetlaczu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Zakres prędkości podaży  bolusa 0,1 – 2000 ml/h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 w:rsidR="006E5908"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Prędkość infuzji w zakresie od 0,01 – 99,00 ml/h programowana co 0,01ml/godz.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Zmiana szybkości infuzji bez konieczności przerywania wlewu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Bolus na żądanie i  programowany z określoną objętością i prędkością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Zakres prędkości podaży  bolusa 0,1 – 2000 ml/h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Zmiana szybkości podawania bolusa w czasie infuzji – bez konieczności zatrzymania infuzji.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Automatyczna funkcja </w:t>
            </w:r>
            <w:proofErr w:type="spellStart"/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antybolus</w:t>
            </w:r>
            <w:proofErr w:type="spellEnd"/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 xml:space="preserve"> po okluzji – zabezpieczenie przed podaniem niekontrolowanego bolusa po alarmie okluzji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Funkcja programowania objętości do podania (VTBD) 0,1- 9999,99 ml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Dozowanie z określeniem prędkości i objętości podaży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Obliczanie prędkości podaży na podstawie objętości, prędkości i czasu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Programowanie infuzji z przerwą oraz ze zmienną szybkością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Dozowanie w jednostkach masowych w stosunku do wagi pacjenta</w:t>
            </w:r>
          </w:p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Waga pacjenta w zakresie od min. 1 – 300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Funkcja szybkiego startu infuzji z parametrami wstępnymi ostatniej zakończonej infuzji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Możliwość programowania parametrów infuzji w mg, µg,  z uwzględnieniem masy ciała w odniesieniu do czasu (g, mg, µg,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ng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, IU/kg/min; g, mg, µg,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ng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>, IU/kg/h)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Funkcja – przerwa (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standby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>) w zakresie od 1min do 24 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Ustawienie granicy ciśnienia okluzji na 11 różnych poziomach w zakresie od 150-975 mmHg. Możliwość zmiany jednostki ciśnienia (Pa, bar)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6E590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Funkcja blokady klawiatury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Akustyczno-optyczny system alarmów i ostrzeżeń: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Ustawienie min. 8 różnych poziomów głośności alarmu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Alarm wstępny zakończenia infuzji ustawiany od 1 do 30 min.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Alarm zakończenia infuzji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Alarm powietrza w linii zestawu infuzyjnego (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pojedyńczego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pęchęrzyka</w:t>
            </w:r>
            <w:proofErr w:type="spellEnd"/>
            <w:r w:rsidRPr="00335407">
              <w:rPr>
                <w:rFonts w:ascii="Calibri" w:hAnsi="Calibri"/>
                <w:sz w:val="22"/>
                <w:szCs w:val="22"/>
              </w:rPr>
              <w:t xml:space="preserve"> oraz wartości skumulowanej). Możliwość ustawienia min. wartości pęcherzyka powietrza w zakresie od 20-800µL.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Alarm okluzji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Wbudowana biblioteka leków umożliwiająca wpisanie co najmniej 2000 leków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Dokładność mechaniczna podaży max. (+/-)1%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Menu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Historia zdarzeń min. 2000, dostępna bezpośrednio z wyświetlacza pompy infuzyjnej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Pompa zasilana bezpośrednio z sieci elektrycznej bez zewn. zasilacza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Praca na akumulatorze wbudowanym min.</w:t>
            </w:r>
            <w:r w:rsidR="006E5908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9 godz. przy przepływie 25 ml/godz.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Wbudowany w pompę uchwyt do mocowania pompy do rury pionowej i poziomej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38.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Zatrzaskowy sposób mocowania w stacji dokującej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współpracy z Systemami Zarządzania Danymi Pacjenta (PDMS)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Default="00132F3D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TAK / </w:t>
            </w: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NIE</w:t>
            </w:r>
            <w:r w:rsidR="006E5908"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  <w:p w:rsidR="006E5908" w:rsidRPr="00335407" w:rsidRDefault="006E5908" w:rsidP="001724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Możliwość współpracy </w:t>
            </w: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=10pkt.</w:t>
            </w:r>
          </w:p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Brak możliwości współpracy = 0pkt.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Klasa ochronności zgodnie z IEC/EN60601-1: Klasa I, typ CF, </w:t>
            </w:r>
          </w:p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Ochrona przed wilgocią min. IP 23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E62A13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E62A13">
              <w:rPr>
                <w:rFonts w:ascii="Calibri" w:hAnsi="Calibri" w:cs="Arial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Masa pompy objętościowej max. 2,5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2F3D" w:rsidRPr="00335407" w:rsidRDefault="006E5908" w:rsidP="0017240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2F3D" w:rsidRPr="00335407" w:rsidRDefault="00132F3D" w:rsidP="00172400">
            <w:pPr>
              <w:rPr>
                <w:rFonts w:ascii="Calibri" w:hAnsi="Calibri"/>
                <w:color w:val="000000"/>
                <w:sz w:val="22"/>
                <w:szCs w:val="22"/>
                <w:highlight w:val="red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4"/>
            <w:shd w:val="clear" w:color="auto" w:fill="auto"/>
            <w:vAlign w:val="center"/>
          </w:tcPr>
          <w:p w:rsidR="00132F3D" w:rsidRPr="009E6909" w:rsidRDefault="00132F3D" w:rsidP="00172400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E6909">
              <w:rPr>
                <w:rFonts w:ascii="Calibri" w:hAnsi="Calibri" w:cs="Arial"/>
                <w:b/>
                <w:bCs/>
                <w:color w:val="000000" w:themeColor="text1"/>
                <w:sz w:val="22"/>
                <w:szCs w:val="22"/>
              </w:rPr>
              <w:t>PARAMETRY OGÓLNE DLA KAŻDEGO Z WSZYSTKICH POWYŻEJ OPISANYCH URZĄDZEŃ</w:t>
            </w: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43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9B64CC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  <w:r w:rsidRPr="00BB6833">
              <w:rPr>
                <w:rFonts w:ascii="Calibri" w:hAnsi="Calibri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</w:tcPr>
          <w:p w:rsidR="00132F3D" w:rsidRPr="009E6909" w:rsidRDefault="00132F3D" w:rsidP="00172400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44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9E6909" w:rsidRDefault="00132F3D" w:rsidP="00172400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45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243E8"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</w:t>
            </w:r>
            <w:r w:rsidRPr="00C243E8">
              <w:rPr>
                <w:rFonts w:ascii="Calibri" w:hAnsi="Calibri" w:cs="Arial"/>
                <w:color w:val="000000"/>
                <w:sz w:val="22"/>
                <w:szCs w:val="22"/>
              </w:rPr>
              <w:t>liczon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ą</w:t>
            </w:r>
            <w:r w:rsidRPr="00C243E8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46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47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w</w:t>
            </w:r>
            <w:r w:rsidRPr="00C243E8">
              <w:rPr>
                <w:rFonts w:ascii="Calibri" w:hAnsi="Calibri"/>
                <w:color w:val="000000"/>
                <w:sz w:val="22"/>
                <w:szCs w:val="22"/>
              </w:rPr>
              <w:t>liczone w cenę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 w ramach umowy), ilość osób do przeszkolenia określa Zamawiający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48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49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50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51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Dane teleadresowe i kontaktowe do najbliższych dla siedziby Zamawiającego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autoryzowanych punktów serwisowych na terenie Polski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6E5908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1B06A8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52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32F3D" w:rsidRPr="00335407" w:rsidTr="00172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132F3D" w:rsidRPr="00335407" w:rsidRDefault="00132F3D" w:rsidP="00172400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2F3D" w:rsidRPr="00BB6833" w:rsidRDefault="00132F3D" w:rsidP="00172400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132F3D" w:rsidRPr="00335407" w:rsidRDefault="00132F3D" w:rsidP="0017240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32F3D" w:rsidRDefault="00132F3D" w:rsidP="00132F3D">
      <w:pPr>
        <w:jc w:val="both"/>
        <w:rPr>
          <w:rFonts w:ascii="Arial" w:hAnsi="Arial" w:cs="Arial"/>
        </w:rPr>
      </w:pPr>
    </w:p>
    <w:p w:rsidR="00132F3D" w:rsidRDefault="00132F3D" w:rsidP="00132F3D">
      <w:pPr>
        <w:jc w:val="both"/>
        <w:rPr>
          <w:rFonts w:ascii="Arial" w:hAnsi="Arial" w:cs="Arial"/>
        </w:rPr>
      </w:pPr>
    </w:p>
    <w:p w:rsidR="00132F3D" w:rsidRDefault="00132F3D" w:rsidP="00132F3D">
      <w:pPr>
        <w:jc w:val="both"/>
        <w:rPr>
          <w:rFonts w:ascii="Arial" w:hAnsi="Arial" w:cs="Arial"/>
        </w:rPr>
      </w:pPr>
    </w:p>
    <w:p w:rsidR="00132F3D" w:rsidRDefault="00132F3D" w:rsidP="00132F3D">
      <w:pPr>
        <w:jc w:val="both"/>
        <w:rPr>
          <w:rFonts w:ascii="Arial" w:hAnsi="Arial" w:cs="Arial"/>
        </w:rPr>
      </w:pPr>
    </w:p>
    <w:p w:rsidR="006E5908" w:rsidRDefault="006E5908" w:rsidP="00132F3D">
      <w:pPr>
        <w:jc w:val="both"/>
        <w:rPr>
          <w:rFonts w:ascii="Arial" w:hAnsi="Arial" w:cs="Arial"/>
        </w:rPr>
      </w:pPr>
    </w:p>
    <w:p w:rsidR="006E5908" w:rsidRDefault="006E5908" w:rsidP="00132F3D">
      <w:pPr>
        <w:jc w:val="both"/>
        <w:rPr>
          <w:rFonts w:ascii="Arial" w:hAnsi="Arial" w:cs="Arial"/>
        </w:rPr>
      </w:pPr>
    </w:p>
    <w:p w:rsidR="00132F3D" w:rsidRPr="003534F1" w:rsidRDefault="00132F3D" w:rsidP="00132F3D">
      <w:pPr>
        <w:widowControl/>
        <w:suppressAutoHyphens/>
        <w:autoSpaceDE/>
        <w:autoSpaceDN/>
        <w:adjustRightInd/>
        <w:spacing w:after="120" w:line="259" w:lineRule="auto"/>
        <w:rPr>
          <w:rFonts w:ascii="Calibri" w:eastAsiaTheme="minorHAnsi" w:hAnsi="Calibri" w:cs="Calibri"/>
          <w:szCs w:val="22"/>
          <w:lang w:eastAsia="ar-SA"/>
        </w:rPr>
      </w:pPr>
    </w:p>
    <w:p w:rsidR="006E5908" w:rsidRPr="00730261" w:rsidRDefault="006E5908" w:rsidP="006E5908">
      <w:pPr>
        <w:ind w:right="-35"/>
        <w:rPr>
          <w:rFonts w:ascii="Calibri" w:hAnsi="Calibri"/>
          <w:sz w:val="22"/>
        </w:rPr>
      </w:pPr>
      <w:r w:rsidRPr="00730261">
        <w:rPr>
          <w:rFonts w:ascii="Calibri" w:hAnsi="Calibri"/>
          <w:sz w:val="22"/>
        </w:rPr>
        <w:t>...................................</w:t>
      </w:r>
      <w:r w:rsidRPr="00730261">
        <w:rPr>
          <w:rFonts w:ascii="Calibri" w:hAnsi="Calibri"/>
          <w:sz w:val="22"/>
        </w:rPr>
        <w:tab/>
        <w:t xml:space="preserve">                                                                            ....................................................</w:t>
      </w:r>
    </w:p>
    <w:p w:rsidR="006E5908" w:rsidRPr="00730261" w:rsidRDefault="006E5908" w:rsidP="006E5908">
      <w:pPr>
        <w:rPr>
          <w:rFonts w:ascii="Calibri" w:hAnsi="Calibri"/>
          <w:sz w:val="22"/>
        </w:rPr>
      </w:pPr>
      <w:r w:rsidRPr="00730261">
        <w:rPr>
          <w:rFonts w:ascii="Calibri" w:hAnsi="Calibri"/>
          <w:sz w:val="22"/>
        </w:rPr>
        <w:t xml:space="preserve">         data                                                                                                       pieczątka i podpis Wykonawcy</w:t>
      </w:r>
    </w:p>
    <w:p w:rsidR="00132F3D" w:rsidRPr="003534F1" w:rsidRDefault="00132F3D" w:rsidP="00132F3D">
      <w:pPr>
        <w:widowControl/>
        <w:autoSpaceDE/>
        <w:autoSpaceDN/>
        <w:adjustRightInd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32F3D" w:rsidRDefault="00132F3D" w:rsidP="00132F3D">
      <w:pPr>
        <w:rPr>
          <w:rFonts w:ascii="Calibri" w:hAnsi="Calibri"/>
          <w:b/>
          <w:color w:val="FF0000"/>
          <w:sz w:val="22"/>
          <w:szCs w:val="22"/>
        </w:rPr>
      </w:pPr>
    </w:p>
    <w:p w:rsidR="00132F3D" w:rsidRDefault="00132F3D" w:rsidP="00132F3D"/>
    <w:p w:rsidR="00DC0C58" w:rsidRDefault="00DC0C58"/>
    <w:sectPr w:rsidR="00DC0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BC"/>
    <w:rsid w:val="00132F3D"/>
    <w:rsid w:val="004871BC"/>
    <w:rsid w:val="006E5908"/>
    <w:rsid w:val="009B64CC"/>
    <w:rsid w:val="00DA1DAC"/>
    <w:rsid w:val="00DC0C58"/>
    <w:rsid w:val="00E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921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6</cp:revision>
  <dcterms:created xsi:type="dcterms:W3CDTF">2017-12-08T09:32:00Z</dcterms:created>
  <dcterms:modified xsi:type="dcterms:W3CDTF">2017-12-15T10:00:00Z</dcterms:modified>
</cp:coreProperties>
</file>